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4F" w:rsidRPr="00452799" w:rsidRDefault="00E1324F" w:rsidP="00E1324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2. UDHËZUES PËR THIRRJET PUBLIKE</w:t>
      </w:r>
    </w:p>
    <w:p w:rsidR="00E1324F" w:rsidRPr="007979AB" w:rsidRDefault="00E1324F" w:rsidP="00E1324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1324F" w:rsidRPr="007979AB" w:rsidRDefault="00E1324F" w:rsidP="00E1324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UDHËZUES PËR MENAXHIMIN E SHPALLJEVE TË THIRJEVE PUBLIKE PËR ORGANIZATAT E SHOQËRISË CIVILE (OSHC)</w:t>
      </w:r>
    </w:p>
    <w:p w:rsidR="00E1324F" w:rsidRPr="007979AB" w:rsidRDefault="00E1324F" w:rsidP="00E1324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1324F" w:rsidRPr="007979AB" w:rsidRDefault="00E1324F" w:rsidP="00E1324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Qëllimi i këtij udhëzuesi të thjeshtë për menaxhimin e shpalljeve për thirrje publike është që t’u ofrojë OSHC-ve qasje të njëjtë në thirrjet publike të shpallura nga bashkitë si dhe të sigurojë një dukshmëri të njëjtësuar publike të tyre, sipas metodologjisë </w:t>
      </w:r>
      <w:r>
        <w:rPr>
          <w:rFonts w:ascii="Times New Roman" w:hAnsi="Times New Roman" w:cs="Times New Roman"/>
          <w:color w:val="000000" w:themeColor="text1"/>
          <w:lang w:val="sq-AL"/>
        </w:rPr>
        <w:t>LOD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. Për sa më lart, duhen ndjekur standardet në vijim:</w:t>
      </w:r>
    </w:p>
    <w:p w:rsidR="00E1324F" w:rsidRPr="007979AB" w:rsidRDefault="00E1324F" w:rsidP="00E1324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ërgjegjësia për botimin e njoftimit (thirrje publike për OSHC-të) i takon bashkisë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. Kjo përfshin të gjitha veprimtaritë dhe detyrimet financiare që lidhen me këtë.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Modeli dhe përmbajtja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e njoftimit përgatitet nga bashkia në përputhje me fushat e përparësisë dhe bazuar në modelin e shpalljeve/njoftimeve që përdoren në gazeta. Qëllimi është të njëjtësohet modeli dhe përmbajtja e të gjitha thirrjeve publike për OSHC-të.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Njoftimi në gazetë duhet të jetë</w:t>
      </w:r>
      <w:r w:rsidR="000B5D0D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vertikal dhe 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si madhësi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duhet të zërë çerekun (1/4) e një faqeje të formatit standard të gazetës, me përmasa 12x17.3 </w:t>
      </w:r>
      <w:proofErr w:type="spellStart"/>
      <w:r w:rsidRPr="007979AB">
        <w:rPr>
          <w:rFonts w:ascii="Times New Roman" w:hAnsi="Times New Roman" w:cs="Times New Roman"/>
          <w:color w:val="000000" w:themeColor="text1"/>
          <w:lang w:val="sq-AL"/>
        </w:rPr>
        <w:t>cm</w:t>
      </w:r>
      <w:proofErr w:type="spellEnd"/>
      <w:r w:rsidRPr="007979AB">
        <w:rPr>
          <w:rFonts w:ascii="Times New Roman" w:hAnsi="Times New Roman" w:cs="Times New Roman"/>
          <w:color w:val="000000" w:themeColor="text1"/>
          <w:lang w:val="sq-AL"/>
        </w:rPr>
        <w:t>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Përzgjedhja e medias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lihet në dorë bashkisë, por kjo duhet të jetë në përputhje me praktikat standarde. Për të garantuar trans</w:t>
      </w:r>
      <w:bookmarkStart w:id="0" w:name="_GoBack"/>
      <w:bookmarkEnd w:id="0"/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parencën e thirrjes në nivel kombëtar, është e nevojshme që njoftimi të botohet në të paktën njërën nga mediat me qarkullimin më të madh në entitetin administrativ ku ndodhet bashkia. Gjithashtu, bashkia </w:t>
      </w:r>
      <w:r w:rsidRPr="007979AB">
        <w:rPr>
          <w:color w:val="000000" w:themeColor="text1"/>
          <w:lang w:val="sq-AL"/>
        </w:rPr>
        <w:t>e boton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thirrjen, si dhe çdo dokument shoqërues, në faqen e saj të internetit, nëse ka.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Kohëzgjatja e thirrjes publike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nuk duhet të jetë më pak se </w:t>
      </w:r>
      <w:r w:rsidRPr="002F04E2">
        <w:rPr>
          <w:rFonts w:ascii="Times New Roman" w:hAnsi="Times New Roman" w:cs="Times New Roman"/>
          <w:color w:val="000000" w:themeColor="text1"/>
          <w:lang w:val="sq-AL"/>
        </w:rPr>
        <w:t>katër javë.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Lëshimi i dokumentacionit për projekt-propozimet është përgjegjësi e bashkisë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, në përputhje me udhëzimet dhe dokumentacionin të hartuar në kuadrin e kësaj metodologjie. Dokumentacioni mbështetës lëshohet në format elektronik (në Disk ose USB) ose shkarkohet nga faqja zyrtare e internetit të bashkisë. Lëshim i drejtpërdrejtë e dokumentacionit të tenderit është falas. Është gjithashtu e rëndësishme të bëhet regjistrimi i duhur i dokumentacionit të tenderit (shih Shtojcën </w:t>
      </w:r>
      <w:r>
        <w:rPr>
          <w:rFonts w:ascii="Times New Roman" w:hAnsi="Times New Roman" w:cs="Times New Roman"/>
          <w:color w:val="000000" w:themeColor="text1"/>
          <w:lang w:val="sq-AL"/>
        </w:rPr>
        <w:t>3: Formulari për regjistrimin e dokumentacionit të lëshuar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). Në përputhje me ligjet dhe rregulloret protokollare të bashkisë, ky regjistrim ruhet për të gjitha dokumentet e tenderit të lëshuara nga bashkia.</w:t>
      </w:r>
    </w:p>
    <w:p w:rsidR="00E1324F" w:rsidRPr="007979AB" w:rsidRDefault="00E1324F" w:rsidP="00E1324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Marrja në dorëzim e projekt-propozimeve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bëhet në zyrën e protokollit të bashkisë. Është e rëndësishme të bëhet regjistrimi i rregullt i projekt-propozimeve të marra në dorëzim (shih Shtojcën </w:t>
      </w:r>
      <w:r>
        <w:rPr>
          <w:rFonts w:ascii="Times New Roman" w:hAnsi="Times New Roman" w:cs="Times New Roman"/>
          <w:color w:val="000000" w:themeColor="text1"/>
          <w:lang w:val="sq-AL"/>
        </w:rPr>
        <w:t>4: Formulari për regjistrimin e dokumentacionit të marrë në dorëzim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) dhe të lëshohet fatura/vërtetimi përkatës (shih Shtojcën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5: Formulari për vërtetimin e marrjes në dorëzim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).</w:t>
      </w:r>
    </w:p>
    <w:p w:rsidR="00E1324F" w:rsidRPr="007979AB" w:rsidRDefault="00E1324F" w:rsidP="00E1324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Pas mbylljes së thirrjes publike, bashkia duhet të arkivojë të gjitha dokumentet e lidhura me atë thirrje publike.</w:t>
      </w:r>
    </w:p>
    <w:p w:rsidR="00E1324F" w:rsidRPr="007979AB" w:rsidRDefault="00E1324F" w:rsidP="00E1324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156"/>
    <w:multiLevelType w:val="hybridMultilevel"/>
    <w:tmpl w:val="A0208C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4F"/>
    <w:rsid w:val="000B5D0D"/>
    <w:rsid w:val="00A906FC"/>
    <w:rsid w:val="00E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C905"/>
  <w15:chartTrackingRefBased/>
  <w15:docId w15:val="{3CC327BD-ACA8-418C-A9F0-9C8B9EE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4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2</cp:revision>
  <dcterms:created xsi:type="dcterms:W3CDTF">2017-12-18T12:09:00Z</dcterms:created>
  <dcterms:modified xsi:type="dcterms:W3CDTF">2017-12-18T12:38:00Z</dcterms:modified>
</cp:coreProperties>
</file>